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03" w:rsidRDefault="003B2203" w:rsidP="003B2203">
      <w:pPr>
        <w:spacing w:after="160" w:line="259" w:lineRule="auto"/>
        <w:jc w:val="right"/>
        <w:rPr>
          <w:rFonts w:ascii="Times New Roman" w:hAnsi="Times New Roman" w:cs="Times New Roman"/>
          <w:sz w:val="24"/>
          <w:szCs w:val="24"/>
        </w:rPr>
      </w:pPr>
      <w:r w:rsidRPr="00AF0A0D">
        <w:rPr>
          <w:rFonts w:ascii="Times New Roman" w:hAnsi="Times New Roman" w:cs="Times New Roman"/>
          <w:sz w:val="24"/>
          <w:szCs w:val="24"/>
        </w:rPr>
        <w:t>April 10, 2019</w:t>
      </w:r>
    </w:p>
    <w:p w:rsidR="003B2203" w:rsidRPr="00991FA3" w:rsidRDefault="003B2203" w:rsidP="005C7E3D">
      <w:pPr>
        <w:spacing w:after="160" w:line="259" w:lineRule="auto"/>
        <w:jc w:val="center"/>
        <w:rPr>
          <w:rFonts w:ascii="Times New Roman" w:hAnsi="Times New Roman" w:cs="Times New Roman"/>
          <w:b/>
          <w:bCs/>
          <w:sz w:val="36"/>
          <w:szCs w:val="36"/>
          <w:u w:val="single"/>
        </w:rPr>
      </w:pPr>
      <w:r w:rsidRPr="00991FA3">
        <w:rPr>
          <w:rFonts w:ascii="Times New Roman" w:hAnsi="Times New Roman" w:cs="Times New Roman"/>
          <w:b/>
          <w:bCs/>
          <w:sz w:val="36"/>
          <w:szCs w:val="36"/>
          <w:u w:val="single"/>
        </w:rPr>
        <w:t>Corrigendum No. 1</w:t>
      </w:r>
    </w:p>
    <w:p w:rsidR="003B2203" w:rsidRPr="00991FA3" w:rsidRDefault="003B2203" w:rsidP="003B2203">
      <w:pPr>
        <w:spacing w:after="0" w:line="259" w:lineRule="auto"/>
        <w:jc w:val="center"/>
        <w:rPr>
          <w:rFonts w:ascii="Times New Roman" w:hAnsi="Times New Roman" w:cs="Times New Roman"/>
          <w:b/>
          <w:bCs/>
          <w:sz w:val="28"/>
          <w:szCs w:val="28"/>
        </w:rPr>
      </w:pPr>
      <w:r w:rsidRPr="00991FA3">
        <w:rPr>
          <w:rFonts w:ascii="Times New Roman" w:hAnsi="Times New Roman" w:cs="Times New Roman"/>
          <w:b/>
          <w:bCs/>
          <w:sz w:val="28"/>
          <w:szCs w:val="28"/>
        </w:rPr>
        <w:t xml:space="preserve">Tender no. MMTC/HYD/NFM/CHA/01/2018-19 dt.01.04.2019 </w:t>
      </w:r>
    </w:p>
    <w:p w:rsidR="003B2203" w:rsidRDefault="003B2203" w:rsidP="003B2203">
      <w:pPr>
        <w:spacing w:after="0" w:line="259" w:lineRule="auto"/>
        <w:jc w:val="center"/>
        <w:rPr>
          <w:rFonts w:ascii="Times New Roman" w:hAnsi="Times New Roman" w:cs="Times New Roman"/>
          <w:b/>
          <w:bCs/>
          <w:sz w:val="28"/>
          <w:szCs w:val="28"/>
        </w:rPr>
      </w:pPr>
      <w:r w:rsidRPr="00991FA3">
        <w:rPr>
          <w:rFonts w:ascii="Times New Roman" w:hAnsi="Times New Roman" w:cs="Times New Roman"/>
          <w:b/>
          <w:bCs/>
          <w:sz w:val="28"/>
          <w:szCs w:val="28"/>
        </w:rPr>
        <w:t xml:space="preserve">Due date 16.04.2019 till 1500 </w:t>
      </w:r>
      <w:proofErr w:type="spellStart"/>
      <w:r w:rsidRPr="00991FA3">
        <w:rPr>
          <w:rFonts w:ascii="Times New Roman" w:hAnsi="Times New Roman" w:cs="Times New Roman"/>
          <w:b/>
          <w:bCs/>
          <w:sz w:val="28"/>
          <w:szCs w:val="28"/>
        </w:rPr>
        <w:t>Hrs</w:t>
      </w:r>
      <w:bookmarkStart w:id="0" w:name="_GoBack"/>
      <w:bookmarkEnd w:id="0"/>
      <w:proofErr w:type="spellEnd"/>
    </w:p>
    <w:p w:rsidR="003B2203" w:rsidRDefault="003B2203" w:rsidP="003B2203">
      <w:pPr>
        <w:pStyle w:val="ListParagraph"/>
        <w:numPr>
          <w:ilvl w:val="0"/>
          <w:numId w:val="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Material Description: all Non Ferrous Metals and Industrial Raw Materials.</w:t>
      </w:r>
    </w:p>
    <w:p w:rsidR="003B2203" w:rsidRDefault="003B2203" w:rsidP="003B2203">
      <w:pPr>
        <w:pStyle w:val="ListParagraph"/>
        <w:numPr>
          <w:ilvl w:val="0"/>
          <w:numId w:val="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Place of clearance/authority is to read as ICD/CFS Hyderabad wherever applicable.</w:t>
      </w:r>
    </w:p>
    <w:p w:rsidR="003B2203" w:rsidRPr="00FA0E57" w:rsidRDefault="003B2203" w:rsidP="003B2203">
      <w:pPr>
        <w:pStyle w:val="ListParagraph"/>
        <w:numPr>
          <w:ilvl w:val="0"/>
          <w:numId w:val="3"/>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Liquidated Damages in Technical bid, Part –I , Clause </w:t>
      </w:r>
      <w:proofErr w:type="spellStart"/>
      <w:r>
        <w:rPr>
          <w:rFonts w:ascii="Times New Roman" w:hAnsi="Times New Roman" w:cs="Times New Roman"/>
          <w:sz w:val="24"/>
          <w:szCs w:val="24"/>
        </w:rPr>
        <w:t>C at</w:t>
      </w:r>
      <w:proofErr w:type="spellEnd"/>
      <w:r>
        <w:rPr>
          <w:rFonts w:ascii="Times New Roman" w:hAnsi="Times New Roman" w:cs="Times New Roman"/>
          <w:sz w:val="24"/>
          <w:szCs w:val="24"/>
        </w:rPr>
        <w:t xml:space="preserve"> Point no. 1 and Part – III clause no. 37 till penalty rates to read as under:</w:t>
      </w:r>
    </w:p>
    <w:p w:rsidR="003B2203" w:rsidRPr="00FA0E57" w:rsidRDefault="003B2203" w:rsidP="003B2203">
      <w:pPr>
        <w:spacing w:after="0" w:line="240" w:lineRule="auto"/>
        <w:contextualSpacing/>
        <w:jc w:val="both"/>
        <w:rPr>
          <w:rFonts w:ascii="Times New Roman" w:hAnsi="Times New Roman" w:cs="Times New Roman"/>
          <w:sz w:val="24"/>
          <w:szCs w:val="24"/>
        </w:rPr>
      </w:pPr>
      <w:r w:rsidRPr="00FA0E57">
        <w:rPr>
          <w:rFonts w:ascii="Times New Roman" w:hAnsi="Times New Roman" w:cs="Times New Roman"/>
          <w:sz w:val="24"/>
          <w:szCs w:val="24"/>
        </w:rPr>
        <w:t xml:space="preserve">“In the case of delay on the part of the bidder for clearance of the Consignments beyond 5 days  from the date of receipt of original documents from MMTC and receipt of consignment at destination, penalty will be imposed as follows: </w:t>
      </w:r>
    </w:p>
    <w:tbl>
      <w:tblPr>
        <w:tblStyle w:val="TableGrid"/>
        <w:tblW w:w="5886" w:type="dxa"/>
        <w:tblInd w:w="1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997"/>
        <w:gridCol w:w="3038"/>
      </w:tblGrid>
      <w:tr w:rsidR="003B2203" w:rsidRPr="00FA0E57" w:rsidTr="00DB5944">
        <w:tc>
          <w:tcPr>
            <w:tcW w:w="851" w:type="dxa"/>
          </w:tcPr>
          <w:p w:rsidR="003B2203" w:rsidRPr="00FA0E57" w:rsidRDefault="003B2203" w:rsidP="00DB5944">
            <w:pPr>
              <w:pStyle w:val="ListParagraph"/>
              <w:ind w:left="0"/>
              <w:jc w:val="center"/>
              <w:rPr>
                <w:rFonts w:ascii="Times New Roman" w:hAnsi="Times New Roman" w:cs="Times New Roman"/>
                <w:b/>
                <w:bCs/>
                <w:sz w:val="24"/>
                <w:szCs w:val="24"/>
                <w:u w:val="single"/>
              </w:rPr>
            </w:pPr>
            <w:r w:rsidRPr="00FA0E57">
              <w:rPr>
                <w:rFonts w:ascii="Times New Roman" w:hAnsi="Times New Roman" w:cs="Times New Roman"/>
                <w:b/>
                <w:bCs/>
                <w:sz w:val="24"/>
                <w:szCs w:val="24"/>
                <w:u w:val="single"/>
              </w:rPr>
              <w:t>S/No.</w:t>
            </w:r>
          </w:p>
        </w:tc>
        <w:tc>
          <w:tcPr>
            <w:tcW w:w="1997" w:type="dxa"/>
          </w:tcPr>
          <w:p w:rsidR="003B2203" w:rsidRPr="00FA0E57" w:rsidRDefault="003B2203" w:rsidP="00DB5944">
            <w:pPr>
              <w:pStyle w:val="ListParagraph"/>
              <w:ind w:left="0"/>
              <w:rPr>
                <w:rFonts w:ascii="Times New Roman" w:hAnsi="Times New Roman" w:cs="Times New Roman"/>
                <w:b/>
                <w:bCs/>
                <w:sz w:val="24"/>
                <w:szCs w:val="24"/>
                <w:u w:val="single"/>
              </w:rPr>
            </w:pPr>
            <w:r w:rsidRPr="00FA0E57">
              <w:rPr>
                <w:rFonts w:ascii="Times New Roman" w:hAnsi="Times New Roman" w:cs="Times New Roman"/>
                <w:b/>
                <w:bCs/>
                <w:sz w:val="24"/>
                <w:szCs w:val="24"/>
                <w:u w:val="single"/>
              </w:rPr>
              <w:t>Delay Period</w:t>
            </w:r>
          </w:p>
        </w:tc>
        <w:tc>
          <w:tcPr>
            <w:tcW w:w="3038" w:type="dxa"/>
          </w:tcPr>
          <w:p w:rsidR="003B2203" w:rsidRPr="00FA0E57" w:rsidRDefault="003B2203" w:rsidP="00DB5944">
            <w:pPr>
              <w:pStyle w:val="ListParagraph"/>
              <w:ind w:left="0"/>
              <w:rPr>
                <w:rFonts w:ascii="Times New Roman" w:hAnsi="Times New Roman" w:cs="Times New Roman"/>
                <w:b/>
                <w:bCs/>
                <w:sz w:val="24"/>
                <w:szCs w:val="24"/>
                <w:u w:val="single"/>
              </w:rPr>
            </w:pPr>
            <w:r w:rsidRPr="00FA0E57">
              <w:rPr>
                <w:rFonts w:ascii="Times New Roman" w:hAnsi="Times New Roman" w:cs="Times New Roman"/>
                <w:b/>
                <w:bCs/>
                <w:sz w:val="24"/>
                <w:szCs w:val="24"/>
                <w:u w:val="single"/>
              </w:rPr>
              <w:t>Penalty in INR</w:t>
            </w:r>
          </w:p>
        </w:tc>
      </w:tr>
      <w:tr w:rsidR="003B2203" w:rsidRPr="00FA0E57" w:rsidTr="00DB5944">
        <w:tc>
          <w:tcPr>
            <w:tcW w:w="851" w:type="dxa"/>
          </w:tcPr>
          <w:p w:rsidR="003B2203" w:rsidRPr="00FA0E57" w:rsidRDefault="003B2203" w:rsidP="00DB5944">
            <w:pPr>
              <w:pStyle w:val="ListParagraph"/>
              <w:ind w:left="0"/>
              <w:jc w:val="center"/>
              <w:rPr>
                <w:rFonts w:ascii="Times New Roman" w:hAnsi="Times New Roman" w:cs="Times New Roman"/>
                <w:sz w:val="24"/>
                <w:szCs w:val="24"/>
              </w:rPr>
            </w:pPr>
            <w:r w:rsidRPr="00FA0E57">
              <w:rPr>
                <w:rFonts w:ascii="Times New Roman" w:hAnsi="Times New Roman" w:cs="Times New Roman"/>
                <w:sz w:val="24"/>
                <w:szCs w:val="24"/>
              </w:rPr>
              <w:t>1.</w:t>
            </w:r>
          </w:p>
        </w:tc>
        <w:tc>
          <w:tcPr>
            <w:tcW w:w="1997"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6- 10 days</w:t>
            </w:r>
          </w:p>
        </w:tc>
        <w:tc>
          <w:tcPr>
            <w:tcW w:w="3038"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7,000/- per Container</w:t>
            </w:r>
          </w:p>
        </w:tc>
      </w:tr>
      <w:tr w:rsidR="003B2203" w:rsidRPr="00FA0E57" w:rsidTr="00DB5944">
        <w:trPr>
          <w:trHeight w:val="243"/>
        </w:trPr>
        <w:tc>
          <w:tcPr>
            <w:tcW w:w="851" w:type="dxa"/>
          </w:tcPr>
          <w:p w:rsidR="003B2203" w:rsidRPr="00FA0E57" w:rsidRDefault="003B2203" w:rsidP="00DB5944">
            <w:pPr>
              <w:pStyle w:val="ListParagraph"/>
              <w:ind w:left="0"/>
              <w:jc w:val="center"/>
              <w:rPr>
                <w:rFonts w:ascii="Times New Roman" w:hAnsi="Times New Roman" w:cs="Times New Roman"/>
                <w:sz w:val="24"/>
                <w:szCs w:val="24"/>
              </w:rPr>
            </w:pPr>
            <w:r w:rsidRPr="00FA0E57">
              <w:rPr>
                <w:rFonts w:ascii="Times New Roman" w:hAnsi="Times New Roman" w:cs="Times New Roman"/>
                <w:sz w:val="24"/>
                <w:szCs w:val="24"/>
              </w:rPr>
              <w:t>2.</w:t>
            </w:r>
          </w:p>
        </w:tc>
        <w:tc>
          <w:tcPr>
            <w:tcW w:w="1997"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11 – 15 days</w:t>
            </w:r>
          </w:p>
        </w:tc>
        <w:tc>
          <w:tcPr>
            <w:tcW w:w="3038"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15,000/- per Container</w:t>
            </w:r>
          </w:p>
        </w:tc>
      </w:tr>
      <w:tr w:rsidR="003B2203" w:rsidRPr="00FA0E57" w:rsidTr="00DB5944">
        <w:tc>
          <w:tcPr>
            <w:tcW w:w="851" w:type="dxa"/>
          </w:tcPr>
          <w:p w:rsidR="003B2203" w:rsidRPr="00FA0E57" w:rsidRDefault="003B2203" w:rsidP="00DB5944">
            <w:pPr>
              <w:pStyle w:val="ListParagraph"/>
              <w:ind w:left="0"/>
              <w:jc w:val="center"/>
              <w:rPr>
                <w:rFonts w:ascii="Times New Roman" w:hAnsi="Times New Roman" w:cs="Times New Roman"/>
                <w:sz w:val="24"/>
                <w:szCs w:val="24"/>
              </w:rPr>
            </w:pPr>
            <w:r w:rsidRPr="00FA0E57">
              <w:rPr>
                <w:rFonts w:ascii="Times New Roman" w:hAnsi="Times New Roman" w:cs="Times New Roman"/>
                <w:sz w:val="24"/>
                <w:szCs w:val="24"/>
              </w:rPr>
              <w:t>3.</w:t>
            </w:r>
          </w:p>
        </w:tc>
        <w:tc>
          <w:tcPr>
            <w:tcW w:w="1997"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16 – 20 days</w:t>
            </w:r>
          </w:p>
        </w:tc>
        <w:tc>
          <w:tcPr>
            <w:tcW w:w="3038"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25,000/- per Container</w:t>
            </w:r>
          </w:p>
        </w:tc>
      </w:tr>
      <w:tr w:rsidR="003B2203" w:rsidRPr="00FA0E57" w:rsidTr="00DB5944">
        <w:trPr>
          <w:trHeight w:val="342"/>
        </w:trPr>
        <w:tc>
          <w:tcPr>
            <w:tcW w:w="851" w:type="dxa"/>
          </w:tcPr>
          <w:p w:rsidR="003B2203" w:rsidRPr="00FA0E57" w:rsidRDefault="003B2203" w:rsidP="00DB5944">
            <w:pPr>
              <w:pStyle w:val="ListParagraph"/>
              <w:ind w:left="0"/>
              <w:jc w:val="center"/>
              <w:rPr>
                <w:rFonts w:ascii="Times New Roman" w:hAnsi="Times New Roman" w:cs="Times New Roman"/>
                <w:sz w:val="24"/>
                <w:szCs w:val="24"/>
              </w:rPr>
            </w:pPr>
            <w:r w:rsidRPr="00FA0E57">
              <w:rPr>
                <w:rFonts w:ascii="Times New Roman" w:hAnsi="Times New Roman" w:cs="Times New Roman"/>
                <w:sz w:val="24"/>
                <w:szCs w:val="24"/>
              </w:rPr>
              <w:t>4.</w:t>
            </w:r>
          </w:p>
        </w:tc>
        <w:tc>
          <w:tcPr>
            <w:tcW w:w="1997"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21-25 days</w:t>
            </w:r>
          </w:p>
        </w:tc>
        <w:tc>
          <w:tcPr>
            <w:tcW w:w="3038"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35,000/- per Container</w:t>
            </w:r>
          </w:p>
        </w:tc>
      </w:tr>
      <w:tr w:rsidR="003B2203" w:rsidRPr="00FA0E57" w:rsidTr="00DB5944">
        <w:tc>
          <w:tcPr>
            <w:tcW w:w="851" w:type="dxa"/>
          </w:tcPr>
          <w:p w:rsidR="003B2203" w:rsidRPr="00FA0E57" w:rsidRDefault="003B2203" w:rsidP="00DB5944">
            <w:pPr>
              <w:pStyle w:val="ListParagraph"/>
              <w:ind w:left="0"/>
              <w:jc w:val="center"/>
              <w:rPr>
                <w:rFonts w:ascii="Times New Roman" w:hAnsi="Times New Roman" w:cs="Times New Roman"/>
                <w:sz w:val="24"/>
                <w:szCs w:val="24"/>
              </w:rPr>
            </w:pPr>
            <w:r w:rsidRPr="00FA0E57">
              <w:rPr>
                <w:rFonts w:ascii="Times New Roman" w:hAnsi="Times New Roman" w:cs="Times New Roman"/>
                <w:sz w:val="24"/>
                <w:szCs w:val="24"/>
              </w:rPr>
              <w:t>5.</w:t>
            </w:r>
          </w:p>
        </w:tc>
        <w:tc>
          <w:tcPr>
            <w:tcW w:w="1997"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26-30 days</w:t>
            </w:r>
          </w:p>
        </w:tc>
        <w:tc>
          <w:tcPr>
            <w:tcW w:w="3038" w:type="dxa"/>
          </w:tcPr>
          <w:p w:rsidR="003B2203" w:rsidRPr="00FA0E57" w:rsidRDefault="003B2203" w:rsidP="00DB5944">
            <w:pPr>
              <w:pStyle w:val="ListParagraph"/>
              <w:ind w:left="0"/>
              <w:rPr>
                <w:rFonts w:ascii="Times New Roman" w:hAnsi="Times New Roman" w:cs="Times New Roman"/>
                <w:sz w:val="24"/>
                <w:szCs w:val="24"/>
              </w:rPr>
            </w:pPr>
            <w:r w:rsidRPr="00FA0E57">
              <w:rPr>
                <w:rFonts w:ascii="Times New Roman" w:hAnsi="Times New Roman" w:cs="Times New Roman"/>
                <w:sz w:val="24"/>
                <w:szCs w:val="24"/>
              </w:rPr>
              <w:t>50,000/- per Container</w:t>
            </w:r>
          </w:p>
        </w:tc>
      </w:tr>
    </w:tbl>
    <w:p w:rsidR="003B2203" w:rsidRPr="00A9349E" w:rsidRDefault="003B2203" w:rsidP="003B2203">
      <w:pPr>
        <w:pStyle w:val="ListParagraph"/>
        <w:numPr>
          <w:ilvl w:val="0"/>
          <w:numId w:val="3"/>
        </w:numPr>
        <w:tabs>
          <w:tab w:val="left" w:pos="720"/>
        </w:tabs>
        <w:spacing w:after="0" w:line="240" w:lineRule="auto"/>
        <w:jc w:val="both"/>
        <w:rPr>
          <w:rFonts w:ascii="inherit" w:hAnsi="inherit" w:cs="Mangal"/>
          <w:color w:val="212121"/>
          <w:sz w:val="24"/>
          <w:szCs w:val="24"/>
          <w:lang w:bidi="hi-IN"/>
        </w:rPr>
      </w:pPr>
      <w:r>
        <w:rPr>
          <w:rFonts w:ascii="inherit" w:hAnsi="inherit" w:cs="Mangal"/>
          <w:color w:val="212121"/>
          <w:sz w:val="24"/>
          <w:szCs w:val="24"/>
          <w:lang w:bidi="hi-IN"/>
        </w:rPr>
        <w:t xml:space="preserve">Technical bid, Part III, Clause 24 to read as “CHA shall obtain all permissions, licenses/ permits required if any, form Govt. and local bodies for storage of product in the warehouse. </w:t>
      </w:r>
    </w:p>
    <w:p w:rsidR="003B2203" w:rsidRDefault="003B2203" w:rsidP="003B2203">
      <w:pPr>
        <w:pStyle w:val="ListParagraph"/>
        <w:numPr>
          <w:ilvl w:val="0"/>
          <w:numId w:val="3"/>
        </w:numPr>
        <w:tabs>
          <w:tab w:val="left" w:pos="720"/>
        </w:tabs>
        <w:spacing w:after="0" w:line="240" w:lineRule="auto"/>
        <w:jc w:val="both"/>
        <w:rPr>
          <w:rFonts w:ascii="inherit" w:hAnsi="inherit" w:cs="Mangal"/>
          <w:color w:val="212121"/>
          <w:sz w:val="24"/>
          <w:szCs w:val="24"/>
          <w:lang w:bidi="hi-IN"/>
        </w:rPr>
      </w:pPr>
      <w:r w:rsidRPr="00FA0E57">
        <w:rPr>
          <w:rFonts w:ascii="Times New Roman" w:hAnsi="Times New Roman" w:cs="Times New Roman"/>
          <w:sz w:val="24"/>
          <w:szCs w:val="24"/>
        </w:rPr>
        <w:t xml:space="preserve">It is clarified that </w:t>
      </w:r>
      <w:r w:rsidRPr="00FA0E57">
        <w:rPr>
          <w:rFonts w:ascii="inherit" w:hAnsi="inherit" w:cs="Mangal"/>
          <w:color w:val="212121"/>
          <w:sz w:val="24"/>
          <w:szCs w:val="24"/>
          <w:lang w:bidi="hi-IN"/>
        </w:rPr>
        <w:t xml:space="preserve">MMTC will make payment of customs duty, shipping line charges etc. and CHA will make all the arrangements in time for such payments. CHAs are required to pay the any incidental charges, </w:t>
      </w:r>
      <w:proofErr w:type="spellStart"/>
      <w:r w:rsidRPr="00FA0E57">
        <w:rPr>
          <w:rFonts w:ascii="inherit" w:hAnsi="inherit" w:cs="Mangal"/>
          <w:color w:val="212121"/>
          <w:sz w:val="24"/>
          <w:szCs w:val="24"/>
          <w:lang w:bidi="hi-IN"/>
        </w:rPr>
        <w:t>Concor</w:t>
      </w:r>
      <w:proofErr w:type="spellEnd"/>
      <w:r w:rsidRPr="00FA0E57">
        <w:rPr>
          <w:rFonts w:ascii="inherit" w:hAnsi="inherit" w:cs="Mangal"/>
          <w:color w:val="212121"/>
          <w:sz w:val="24"/>
          <w:szCs w:val="24"/>
          <w:lang w:bidi="hi-IN"/>
        </w:rPr>
        <w:t xml:space="preserve"> charges on behalf of MMTC to expedite </w:t>
      </w:r>
      <w:proofErr w:type="spellStart"/>
      <w:r w:rsidRPr="00FA0E57">
        <w:rPr>
          <w:rFonts w:ascii="inherit" w:hAnsi="inherit" w:cs="Mangal"/>
          <w:color w:val="212121"/>
          <w:sz w:val="24"/>
          <w:szCs w:val="24"/>
          <w:lang w:bidi="hi-IN"/>
        </w:rPr>
        <w:t>clearane</w:t>
      </w:r>
      <w:proofErr w:type="spellEnd"/>
      <w:r w:rsidRPr="00FA0E57">
        <w:rPr>
          <w:rFonts w:ascii="inherit" w:hAnsi="inherit" w:cs="Mangal"/>
          <w:color w:val="212121"/>
          <w:sz w:val="24"/>
          <w:szCs w:val="24"/>
          <w:lang w:bidi="hi-IN"/>
        </w:rPr>
        <w:t xml:space="preserve"> which will be reimbursed on production of bill. </w:t>
      </w:r>
    </w:p>
    <w:p w:rsidR="003B2203" w:rsidRDefault="003B2203" w:rsidP="003B2203">
      <w:pPr>
        <w:tabs>
          <w:tab w:val="left" w:pos="720"/>
        </w:tabs>
        <w:spacing w:after="0" w:line="240" w:lineRule="auto"/>
        <w:jc w:val="both"/>
        <w:rPr>
          <w:rFonts w:ascii="inherit" w:hAnsi="inherit" w:cs="Mangal"/>
          <w:color w:val="212121"/>
          <w:sz w:val="24"/>
          <w:szCs w:val="24"/>
          <w:lang w:bidi="hi-IN"/>
        </w:rPr>
      </w:pPr>
    </w:p>
    <w:p w:rsidR="003B2203" w:rsidRDefault="003B2203" w:rsidP="003B2203">
      <w:pPr>
        <w:tabs>
          <w:tab w:val="left" w:pos="720"/>
        </w:tabs>
        <w:spacing w:after="0" w:line="240" w:lineRule="auto"/>
        <w:ind w:left="720"/>
        <w:jc w:val="both"/>
        <w:rPr>
          <w:rFonts w:ascii="inherit" w:hAnsi="inherit" w:cs="Mangal"/>
          <w:color w:val="212121"/>
          <w:sz w:val="24"/>
          <w:szCs w:val="24"/>
          <w:lang w:bidi="hi-IN"/>
        </w:rPr>
      </w:pPr>
      <w:r>
        <w:rPr>
          <w:rFonts w:ascii="inherit" w:hAnsi="inherit" w:cs="Mangal"/>
          <w:color w:val="212121"/>
          <w:sz w:val="24"/>
          <w:szCs w:val="24"/>
          <w:lang w:bidi="hi-IN"/>
        </w:rPr>
        <w:t>The other tender terms stand unchanged.</w:t>
      </w:r>
    </w:p>
    <w:p w:rsidR="003B2203" w:rsidRDefault="003B2203" w:rsidP="003B2203">
      <w:pPr>
        <w:tabs>
          <w:tab w:val="left" w:pos="720"/>
        </w:tabs>
        <w:spacing w:after="0" w:line="240" w:lineRule="auto"/>
        <w:ind w:left="720"/>
        <w:jc w:val="both"/>
        <w:rPr>
          <w:rFonts w:ascii="inherit" w:hAnsi="inherit" w:cs="Mangal"/>
          <w:color w:val="212121"/>
          <w:sz w:val="24"/>
          <w:szCs w:val="24"/>
          <w:lang w:bidi="hi-IN"/>
        </w:rPr>
      </w:pPr>
    </w:p>
    <w:p w:rsidR="003B2203" w:rsidRDefault="003B2203" w:rsidP="003B2203">
      <w:pPr>
        <w:tabs>
          <w:tab w:val="left" w:pos="720"/>
        </w:tabs>
        <w:spacing w:after="0" w:line="240" w:lineRule="auto"/>
        <w:jc w:val="both"/>
        <w:rPr>
          <w:rFonts w:ascii="inherit" w:hAnsi="inherit" w:cs="Mangal"/>
          <w:color w:val="212121"/>
          <w:sz w:val="24"/>
          <w:szCs w:val="24"/>
          <w:lang w:bidi="hi-IN"/>
        </w:rPr>
      </w:pPr>
      <w:r>
        <w:rPr>
          <w:rFonts w:ascii="inherit" w:hAnsi="inherit" w:cs="Mangal"/>
          <w:color w:val="212121"/>
          <w:sz w:val="24"/>
          <w:szCs w:val="24"/>
          <w:lang w:bidi="hi-IN"/>
        </w:rPr>
        <w:t>For MMTC Ltd.,</w:t>
      </w:r>
    </w:p>
    <w:p w:rsidR="003B2203" w:rsidRDefault="003B2203" w:rsidP="003B2203">
      <w:pPr>
        <w:tabs>
          <w:tab w:val="left" w:pos="720"/>
        </w:tabs>
        <w:spacing w:after="0" w:line="240" w:lineRule="auto"/>
        <w:jc w:val="both"/>
        <w:rPr>
          <w:rFonts w:ascii="inherit" w:hAnsi="inherit" w:cs="Mangal"/>
          <w:color w:val="212121"/>
          <w:sz w:val="24"/>
          <w:szCs w:val="24"/>
          <w:lang w:bidi="hi-IN"/>
        </w:rPr>
      </w:pPr>
    </w:p>
    <w:p w:rsidR="003B2203" w:rsidRDefault="003B2203" w:rsidP="003B2203">
      <w:pPr>
        <w:tabs>
          <w:tab w:val="left" w:pos="720"/>
        </w:tabs>
        <w:spacing w:after="0" w:line="240" w:lineRule="auto"/>
        <w:jc w:val="both"/>
        <w:rPr>
          <w:rFonts w:ascii="inherit" w:hAnsi="inherit" w:cs="Mangal"/>
          <w:color w:val="212121"/>
          <w:sz w:val="24"/>
          <w:szCs w:val="24"/>
          <w:lang w:bidi="hi-IN"/>
        </w:rPr>
      </w:pPr>
    </w:p>
    <w:p w:rsidR="003B2203" w:rsidRDefault="003B2203" w:rsidP="003B2203">
      <w:pPr>
        <w:tabs>
          <w:tab w:val="left" w:pos="720"/>
        </w:tabs>
        <w:spacing w:after="0" w:line="240" w:lineRule="auto"/>
        <w:jc w:val="both"/>
        <w:rPr>
          <w:rFonts w:ascii="inherit" w:hAnsi="inherit" w:cs="Mangal"/>
          <w:color w:val="212121"/>
          <w:sz w:val="24"/>
          <w:szCs w:val="24"/>
          <w:lang w:bidi="hi-IN"/>
        </w:rPr>
      </w:pPr>
      <w:r>
        <w:rPr>
          <w:rFonts w:ascii="inherit" w:hAnsi="inherit" w:cs="Mangal"/>
          <w:color w:val="212121"/>
          <w:sz w:val="24"/>
          <w:szCs w:val="24"/>
          <w:lang w:bidi="hi-IN"/>
        </w:rPr>
        <w:t xml:space="preserve">(N. </w:t>
      </w:r>
      <w:proofErr w:type="spellStart"/>
      <w:r>
        <w:rPr>
          <w:rFonts w:ascii="inherit" w:hAnsi="inherit" w:cs="Mangal"/>
          <w:color w:val="212121"/>
          <w:sz w:val="24"/>
          <w:szCs w:val="24"/>
          <w:lang w:bidi="hi-IN"/>
        </w:rPr>
        <w:t>Krishnamoorthi</w:t>
      </w:r>
      <w:proofErr w:type="spellEnd"/>
      <w:r>
        <w:rPr>
          <w:rFonts w:ascii="inherit" w:hAnsi="inherit" w:cs="Mangal"/>
          <w:color w:val="212121"/>
          <w:sz w:val="24"/>
          <w:szCs w:val="24"/>
          <w:lang w:bidi="hi-IN"/>
        </w:rPr>
        <w:t>)</w:t>
      </w:r>
    </w:p>
    <w:p w:rsidR="003B2203" w:rsidRPr="00C01C42" w:rsidRDefault="003B2203" w:rsidP="003B2203">
      <w:pPr>
        <w:tabs>
          <w:tab w:val="left" w:pos="720"/>
        </w:tabs>
        <w:spacing w:after="0" w:line="240" w:lineRule="auto"/>
        <w:jc w:val="both"/>
        <w:rPr>
          <w:rFonts w:ascii="inherit" w:hAnsi="inherit" w:cs="Mangal"/>
          <w:color w:val="212121"/>
          <w:sz w:val="24"/>
          <w:szCs w:val="24"/>
          <w:lang w:bidi="hi-IN"/>
        </w:rPr>
      </w:pPr>
      <w:r>
        <w:rPr>
          <w:rFonts w:ascii="inherit" w:hAnsi="inherit" w:cs="Mangal"/>
          <w:color w:val="212121"/>
          <w:sz w:val="24"/>
          <w:szCs w:val="24"/>
          <w:lang w:bidi="hi-IN"/>
        </w:rPr>
        <w:t>Addl. General Manager (NFM)</w:t>
      </w:r>
    </w:p>
    <w:p w:rsidR="007C752D" w:rsidRDefault="007C752D"/>
    <w:sectPr w:rsidR="007C752D" w:rsidSect="003B2203">
      <w:headerReference w:type="default" r:id="rId7"/>
      <w:pgSz w:w="12240" w:h="15840"/>
      <w:pgMar w:top="1440" w:right="108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0D" w:rsidRDefault="00F15D0D" w:rsidP="003B2203">
      <w:pPr>
        <w:spacing w:after="0" w:line="240" w:lineRule="auto"/>
      </w:pPr>
      <w:r>
        <w:separator/>
      </w:r>
    </w:p>
  </w:endnote>
  <w:endnote w:type="continuationSeparator" w:id="0">
    <w:p w:rsidR="00F15D0D" w:rsidRDefault="00F15D0D" w:rsidP="003B2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0D" w:rsidRDefault="00F15D0D" w:rsidP="003B2203">
      <w:pPr>
        <w:spacing w:after="0" w:line="240" w:lineRule="auto"/>
      </w:pPr>
      <w:r>
        <w:separator/>
      </w:r>
    </w:p>
  </w:footnote>
  <w:footnote w:type="continuationSeparator" w:id="0">
    <w:p w:rsidR="00F15D0D" w:rsidRDefault="00F15D0D" w:rsidP="003B2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03" w:rsidRDefault="003B2203" w:rsidP="003B2203">
    <w:pPr>
      <w:spacing w:after="0" w:line="0" w:lineRule="atLeast"/>
      <w:jc w:val="center"/>
      <w:rPr>
        <w:rFonts w:ascii="Arial" w:hAnsi="Arial"/>
        <w:sz w:val="20"/>
        <w:szCs w:val="20"/>
      </w:rPr>
    </w:pPr>
    <w:r>
      <w:rPr>
        <w:rFonts w:ascii="Verdana" w:hAnsi="Verdana"/>
        <w:noProof/>
        <w:sz w:val="17"/>
        <w:szCs w:val="17"/>
        <w:lang w:bidi="hi-IN"/>
      </w:rPr>
      <w:drawing>
        <wp:inline distT="0" distB="0" distL="0" distR="0" wp14:anchorId="70E69EEF" wp14:editId="5A6C256B">
          <wp:extent cx="1714500" cy="781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81050"/>
                  </a:xfrm>
                  <a:prstGeom prst="rect">
                    <a:avLst/>
                  </a:prstGeom>
                  <a:solidFill>
                    <a:srgbClr val="FFFFFF"/>
                  </a:solidFill>
                  <a:ln>
                    <a:noFill/>
                  </a:ln>
                </pic:spPr>
              </pic:pic>
            </a:graphicData>
          </a:graphic>
        </wp:inline>
      </w:drawing>
    </w:r>
  </w:p>
  <w:p w:rsidR="003B2203" w:rsidRDefault="003B2203" w:rsidP="003B2203">
    <w:pPr>
      <w:spacing w:after="0" w:line="0" w:lineRule="atLeast"/>
      <w:jc w:val="center"/>
      <w:rPr>
        <w:rFonts w:ascii="Arial" w:hAnsi="Arial"/>
        <w:sz w:val="20"/>
        <w:szCs w:val="20"/>
      </w:rPr>
    </w:pPr>
    <w:r>
      <w:rPr>
        <w:rFonts w:ascii="Arial" w:hAnsi="Arial"/>
        <w:sz w:val="20"/>
        <w:szCs w:val="20"/>
      </w:rPr>
      <w:t xml:space="preserve">Regional Office: 9-1-76 TO 77/1/B, Third Floor, </w:t>
    </w:r>
    <w:proofErr w:type="spellStart"/>
    <w:r>
      <w:rPr>
        <w:rFonts w:ascii="Arial" w:hAnsi="Arial"/>
        <w:sz w:val="20"/>
        <w:szCs w:val="20"/>
      </w:rPr>
      <w:t>Sarojini</w:t>
    </w:r>
    <w:proofErr w:type="spellEnd"/>
    <w:r>
      <w:rPr>
        <w:rFonts w:ascii="Arial" w:hAnsi="Arial"/>
        <w:sz w:val="20"/>
        <w:szCs w:val="20"/>
      </w:rPr>
      <w:t xml:space="preserve"> Devi Road, </w:t>
    </w:r>
    <w:proofErr w:type="spellStart"/>
    <w:r>
      <w:rPr>
        <w:rFonts w:ascii="Arial" w:hAnsi="Arial"/>
        <w:sz w:val="20"/>
        <w:szCs w:val="20"/>
      </w:rPr>
      <w:t>Secunderabad</w:t>
    </w:r>
    <w:proofErr w:type="spellEnd"/>
    <w:r>
      <w:rPr>
        <w:rFonts w:ascii="Arial" w:hAnsi="Arial"/>
        <w:sz w:val="20"/>
        <w:szCs w:val="20"/>
      </w:rPr>
      <w:t xml:space="preserve"> – 500 003             Tel: 040-27725428/414/406 Fax: 040-27804038</w:t>
    </w:r>
  </w:p>
  <w:p w:rsidR="003B2203" w:rsidRDefault="003B2203" w:rsidP="003B2203">
    <w:pPr>
      <w:pStyle w:val="Heading1"/>
      <w:numPr>
        <w:ilvl w:val="0"/>
        <w:numId w:val="2"/>
      </w:numPr>
      <w:spacing w:line="0" w:lineRule="atLeast"/>
      <w:rPr>
        <w:rFonts w:ascii="Arial Black" w:hAnsi="Arial Black"/>
        <w:b w:val="0"/>
        <w:sz w:val="16"/>
      </w:rPr>
    </w:pPr>
    <w:r>
      <w:rPr>
        <w:rFonts w:ascii="Arial Black" w:hAnsi="Arial Black"/>
        <w:b w:val="0"/>
        <w:sz w:val="16"/>
      </w:rPr>
      <w:t xml:space="preserve">Corporate Office: Scope Complex, Core-1, 7 Institutional Area, </w:t>
    </w:r>
    <w:proofErr w:type="spellStart"/>
    <w:r>
      <w:rPr>
        <w:rFonts w:ascii="Arial Black" w:hAnsi="Arial Black"/>
        <w:b w:val="0"/>
        <w:sz w:val="16"/>
      </w:rPr>
      <w:t>Lodhi</w:t>
    </w:r>
    <w:proofErr w:type="spellEnd"/>
    <w:r>
      <w:rPr>
        <w:rFonts w:ascii="Arial Black" w:hAnsi="Arial Black"/>
        <w:b w:val="0"/>
        <w:sz w:val="16"/>
      </w:rPr>
      <w:t xml:space="preserve"> Road, NEW DELHI – 110 003</w:t>
    </w:r>
  </w:p>
  <w:p w:rsidR="003B2203" w:rsidRDefault="003B2203" w:rsidP="003B2203">
    <w:pPr>
      <w:spacing w:after="0" w:line="0" w:lineRule="atLeast"/>
      <w:jc w:val="center"/>
      <w:rPr>
        <w:b/>
        <w:bCs/>
        <w:lang w:bidi="en-US"/>
      </w:rPr>
    </w:pPr>
    <w:r w:rsidRPr="006C1B61">
      <w:rPr>
        <w:b/>
        <w:bCs/>
        <w:lang w:bidi="en-US"/>
      </w:rPr>
      <w:t xml:space="preserve">CIN: </w:t>
    </w:r>
    <w:proofErr w:type="gramStart"/>
    <w:r w:rsidRPr="006C1B61">
      <w:rPr>
        <w:b/>
        <w:bCs/>
        <w:lang w:bidi="en-US"/>
      </w:rPr>
      <w:t>L51909DL1963GO1001033 ;</w:t>
    </w:r>
    <w:proofErr w:type="gramEnd"/>
    <w:r w:rsidRPr="006C1B61">
      <w:rPr>
        <w:b/>
        <w:bCs/>
        <w:lang w:bidi="en-US"/>
      </w:rPr>
      <w:t xml:space="preserve"> GSTN: 36AAACM1433E1Z0</w:t>
    </w:r>
  </w:p>
  <w:p w:rsidR="003B2203" w:rsidRPr="003B2203" w:rsidRDefault="003B2203" w:rsidP="003B2203">
    <w:pPr>
      <w:spacing w:after="0" w:line="0" w:lineRule="atLeast"/>
      <w:jc w:val="center"/>
      <w:rPr>
        <w:b/>
        <w:bCs/>
      </w:rPr>
    </w:pPr>
    <w:r>
      <w:rPr>
        <w:b/>
        <w:bCs/>
        <w:lang w:bidi="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6B35FD7"/>
    <w:multiLevelType w:val="hybridMultilevel"/>
    <w:tmpl w:val="5B52E8D0"/>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E6914"/>
    <w:multiLevelType w:val="hybridMultilevel"/>
    <w:tmpl w:val="E528CAF4"/>
    <w:lvl w:ilvl="0" w:tplc="1A84BB6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19"/>
    <w:rsid w:val="003B2203"/>
    <w:rsid w:val="005A7019"/>
    <w:rsid w:val="005C7E3D"/>
    <w:rsid w:val="007C752D"/>
    <w:rsid w:val="00F15D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EE29-6BE2-4438-BD4F-1AA5112B5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203"/>
    <w:pPr>
      <w:spacing w:after="200" w:line="276" w:lineRule="auto"/>
    </w:pPr>
    <w:rPr>
      <w:rFonts w:ascii="Calibri" w:eastAsia="Times New Roman" w:hAnsi="Calibri" w:cs="Calibri"/>
      <w:szCs w:val="22"/>
      <w:lang w:bidi="ar-SA"/>
    </w:rPr>
  </w:style>
  <w:style w:type="paragraph" w:styleId="Heading1">
    <w:name w:val="heading 1"/>
    <w:basedOn w:val="Normal"/>
    <w:next w:val="Normal"/>
    <w:link w:val="Heading1Char"/>
    <w:qFormat/>
    <w:rsid w:val="003B2203"/>
    <w:pPr>
      <w:keepNext/>
      <w:widowControl w:val="0"/>
      <w:numPr>
        <w:numId w:val="1"/>
      </w:numPr>
      <w:suppressAutoHyphens/>
      <w:spacing w:after="0" w:line="240" w:lineRule="auto"/>
      <w:jc w:val="center"/>
      <w:outlineLvl w:val="0"/>
    </w:pPr>
    <w:rPr>
      <w:rFonts w:ascii="Times New Roman" w:eastAsia="Lucida Sans Unicode" w:hAnsi="Times New Roman" w:cs="Tahoma"/>
      <w:b/>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203"/>
  </w:style>
  <w:style w:type="paragraph" w:styleId="Footer">
    <w:name w:val="footer"/>
    <w:basedOn w:val="Normal"/>
    <w:link w:val="FooterChar"/>
    <w:uiPriority w:val="99"/>
    <w:unhideWhenUsed/>
    <w:rsid w:val="003B2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203"/>
  </w:style>
  <w:style w:type="character" w:customStyle="1" w:styleId="Heading1Char">
    <w:name w:val="Heading 1 Char"/>
    <w:basedOn w:val="DefaultParagraphFont"/>
    <w:link w:val="Heading1"/>
    <w:rsid w:val="003B2203"/>
    <w:rPr>
      <w:rFonts w:ascii="Times New Roman" w:eastAsia="Lucida Sans Unicode" w:hAnsi="Times New Roman" w:cs="Tahoma"/>
      <w:b/>
      <w:color w:val="000000"/>
      <w:sz w:val="20"/>
      <w:lang w:bidi="en-US"/>
    </w:rPr>
  </w:style>
  <w:style w:type="paragraph" w:styleId="ListParagraph">
    <w:name w:val="List Paragraph"/>
    <w:basedOn w:val="Normal"/>
    <w:uiPriority w:val="34"/>
    <w:qFormat/>
    <w:rsid w:val="003B2203"/>
    <w:pPr>
      <w:ind w:left="720"/>
    </w:pPr>
  </w:style>
  <w:style w:type="table" w:styleId="TableGrid">
    <w:name w:val="Table Grid"/>
    <w:basedOn w:val="TableNormal"/>
    <w:uiPriority w:val="59"/>
    <w:rsid w:val="003B2203"/>
    <w:pPr>
      <w:spacing w:after="0" w:line="240" w:lineRule="auto"/>
    </w:pPr>
    <w:rPr>
      <w:rFonts w:ascii="Calibri" w:eastAsia="Times New Roman" w:hAnsi="Calibri" w:cs="Calibri"/>
      <w:sz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dc:creator>
  <cp:keywords/>
  <dc:description/>
  <cp:lastModifiedBy>R P</cp:lastModifiedBy>
  <cp:revision>3</cp:revision>
  <dcterms:created xsi:type="dcterms:W3CDTF">2019-04-10T07:07:00Z</dcterms:created>
  <dcterms:modified xsi:type="dcterms:W3CDTF">2019-04-10T07:09:00Z</dcterms:modified>
</cp:coreProperties>
</file>